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710D9" w:rsidRDefault="007710D9" w:rsidP="007710D9">
      <w:pPr>
        <w:ind w:left="1416"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7710D9" w:rsidRDefault="009E1DBE" w:rsidP="007710D9">
      <w:pPr>
        <w:ind w:left="1416" w:firstLine="708"/>
        <w:jc w:val="both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7710D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 </w:t>
      </w:r>
      <w:bookmarkStart w:id="0" w:name="_GoBack"/>
      <w:r w:rsidR="007710D9" w:rsidRPr="007710D9">
        <w:rPr>
          <w:rFonts w:ascii="Arial" w:eastAsia="Times New Roman" w:hAnsi="Arial" w:cs="Arial"/>
          <w:b/>
          <w:sz w:val="36"/>
          <w:szCs w:val="36"/>
          <w:lang w:eastAsia="ru-RU"/>
        </w:rPr>
        <w:t>Н</w:t>
      </w:r>
      <w:r w:rsidR="007710D9">
        <w:rPr>
          <w:rFonts w:ascii="Arial" w:eastAsia="Times New Roman" w:hAnsi="Arial" w:cs="Arial"/>
          <w:b/>
          <w:sz w:val="36"/>
          <w:szCs w:val="36"/>
          <w:lang w:eastAsia="ru-RU"/>
        </w:rPr>
        <w:t>еформальная занятость граждан</w:t>
      </w:r>
      <w:bookmarkEnd w:id="0"/>
    </w:p>
    <w:p w:rsidR="007710D9" w:rsidRPr="007710D9" w:rsidRDefault="007710D9" w:rsidP="007710D9">
      <w:pPr>
        <w:ind w:left="1416" w:firstLine="708"/>
        <w:jc w:val="both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7710D9" w:rsidRPr="007710D9" w:rsidRDefault="007710D9" w:rsidP="007710D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Проблема неформальной занятости граждан, то есть работа без трудоустройства, остается крайне негативной тенденцией в стране. </w:t>
      </w:r>
    </w:p>
    <w:p w:rsidR="007710D9" w:rsidRPr="007710D9" w:rsidRDefault="007710D9" w:rsidP="007710D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>Необходимо отметить, что оформление трудовых отношений является обязанностью работодателя и полностью регламентируется Трудовым Кодексом Российской Федерации. За невыполнение данного требования предусмотрена административная ответственность.</w:t>
      </w:r>
    </w:p>
    <w:p w:rsidR="007710D9" w:rsidRPr="007710D9" w:rsidRDefault="007710D9" w:rsidP="007710D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>Согласно ст. 67 Трудового кодекса РФ срок заключения трудового договора составляет 3 дня с момента допуска человека к работе и не зависит от того, принят ли сотрудник на испытательный срок.</w:t>
      </w:r>
    </w:p>
    <w:p w:rsidR="007710D9" w:rsidRPr="007710D9" w:rsidRDefault="007710D9" w:rsidP="007710D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>Условия оплаты труда, в том числе размер оклада работника, доплаты, надбавки и поощрительные выплаты, являются обязательными для включения в трудовой договор (</w:t>
      </w:r>
      <w:proofErr w:type="spellStart"/>
      <w:r w:rsidRPr="007710D9">
        <w:rPr>
          <w:rFonts w:ascii="Arial" w:eastAsia="Times New Roman" w:hAnsi="Arial" w:cs="Arial"/>
          <w:sz w:val="28"/>
          <w:szCs w:val="28"/>
          <w:lang w:eastAsia="ru-RU"/>
        </w:rPr>
        <w:t>абз</w:t>
      </w:r>
      <w:proofErr w:type="spellEnd"/>
      <w:r w:rsidRPr="007710D9">
        <w:rPr>
          <w:rFonts w:ascii="Arial" w:eastAsia="Times New Roman" w:hAnsi="Arial" w:cs="Arial"/>
          <w:sz w:val="28"/>
          <w:szCs w:val="28"/>
          <w:lang w:eastAsia="ru-RU"/>
        </w:rPr>
        <w:t>. 5 ч.2 ст. 57 ТК РФ). В соответствии со ст. 135 ТК РФ заработная плата работнику устанавливается трудовым договором, согласно действующим у данного работодателя системам оплаты труда.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</w:t>
      </w:r>
      <w:hyperlink r:id="rId10" w:history="1">
        <w:r w:rsidRPr="007710D9">
          <w:rPr>
            <w:rFonts w:ascii="Arial" w:eastAsia="Times New Roman" w:hAnsi="Arial" w:cs="Arial"/>
            <w:sz w:val="28"/>
            <w:szCs w:val="28"/>
            <w:lang w:eastAsia="ru-RU"/>
          </w:rPr>
          <w:t>нормы труда</w:t>
        </w:r>
      </w:hyperlink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 (трудовые обязанности), не может быть ниже минимального </w:t>
      </w:r>
      <w:proofErr w:type="gramStart"/>
      <w:r w:rsidRPr="007710D9">
        <w:rPr>
          <w:rFonts w:ascii="Arial" w:eastAsia="Times New Roman" w:hAnsi="Arial" w:cs="Arial"/>
          <w:sz w:val="28"/>
          <w:szCs w:val="28"/>
          <w:lang w:eastAsia="ru-RU"/>
        </w:rPr>
        <w:t>размера оплаты труда</w:t>
      </w:r>
      <w:proofErr w:type="gramEnd"/>
      <w:r w:rsidRPr="007710D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710D9" w:rsidRPr="007710D9" w:rsidRDefault="007710D9" w:rsidP="007710D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history="1">
        <w:r w:rsidRPr="007710D9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Минимальный </w:t>
        </w:r>
        <w:proofErr w:type="gramStart"/>
        <w:r w:rsidRPr="007710D9">
          <w:rPr>
            <w:rFonts w:ascii="Arial" w:eastAsia="Times New Roman" w:hAnsi="Arial" w:cs="Arial"/>
            <w:sz w:val="28"/>
            <w:szCs w:val="28"/>
            <w:lang w:eastAsia="ru-RU"/>
          </w:rPr>
          <w:t>размер оплаты труда</w:t>
        </w:r>
        <w:proofErr w:type="gramEnd"/>
      </w:hyperlink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 устанавливается одновременно на всей территории Российской Федерации федеральным законом и не может быть ниже величины </w:t>
      </w:r>
      <w:hyperlink r:id="rId12" w:history="1">
        <w:r w:rsidRPr="007710D9">
          <w:rPr>
            <w:rFonts w:ascii="Arial" w:eastAsia="Times New Roman" w:hAnsi="Arial" w:cs="Arial"/>
            <w:sz w:val="28"/>
            <w:szCs w:val="28"/>
            <w:lang w:eastAsia="ru-RU"/>
          </w:rPr>
          <w:t>прожиточного минимума</w:t>
        </w:r>
      </w:hyperlink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 трудоспособного населения.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В 2022г. минимальный </w:t>
      </w:r>
      <w:proofErr w:type="gramStart"/>
      <w:r w:rsidRPr="007710D9">
        <w:rPr>
          <w:rFonts w:ascii="Arial" w:eastAsia="Times New Roman" w:hAnsi="Arial" w:cs="Arial"/>
          <w:sz w:val="28"/>
          <w:szCs w:val="28"/>
          <w:lang w:eastAsia="ru-RU"/>
        </w:rPr>
        <w:t>размер оплаты труда</w:t>
      </w:r>
      <w:proofErr w:type="gramEnd"/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 в РФ составляет 13890  руб. и увеличивается на районные </w:t>
      </w:r>
      <w:r w:rsidRPr="007710D9">
        <w:rPr>
          <w:rFonts w:ascii="Arial" w:hAnsi="Arial" w:cs="Arial"/>
          <w:sz w:val="28"/>
          <w:szCs w:val="28"/>
        </w:rPr>
        <w:t>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местностях. Таким образом, в Приморском крае, с учетом всех надбавок и коэффициентов МРОТ составляет 20835 руб.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hAnsi="Arial" w:cs="Arial"/>
          <w:sz w:val="28"/>
          <w:szCs w:val="28"/>
        </w:rPr>
        <w:lastRenderedPageBreak/>
        <w:t xml:space="preserve">За </w:t>
      </w: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выплату заработной платы ниже МРОТ (если нет уголовно наказуемого деяния) предусмотрена ответственность по </w:t>
      </w:r>
      <w:hyperlink r:id="rId13" w:history="1">
        <w:r w:rsidRPr="007710D9">
          <w:rPr>
            <w:rFonts w:ascii="Arial" w:eastAsia="Times New Roman" w:hAnsi="Arial" w:cs="Arial"/>
            <w:sz w:val="28"/>
            <w:szCs w:val="28"/>
            <w:lang w:eastAsia="ru-RU"/>
          </w:rPr>
          <w:t>ч. 6 ст. 5.27</w:t>
        </w:r>
      </w:hyperlink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 КоАП РФ в виде предупреждения или штрафа.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Неоформленные официально трудовые отношения влекут за собой серьезные </w:t>
      </w:r>
      <w:proofErr w:type="gramStart"/>
      <w:r w:rsidRPr="007710D9">
        <w:rPr>
          <w:rFonts w:ascii="Arial" w:eastAsia="Times New Roman" w:hAnsi="Arial" w:cs="Arial"/>
          <w:sz w:val="28"/>
          <w:szCs w:val="28"/>
          <w:lang w:eastAsia="ru-RU"/>
        </w:rPr>
        <w:t>последствия</w:t>
      </w:r>
      <w:proofErr w:type="gramEnd"/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 как для работника, так и для работодателя.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Межрайонной ИФНС России № 9 по Приморскому краю, совместно с представителями Администраций муниципальных образований, на постоянной основе проводится работа по выявлению хозяйствующих субъектов, имеющих неоформленные трудовые отношения с работниками, а также занимающихся незаконной предпринимательской деятельностью с целью привлечения их к уплате налогов. 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Данные работодатели рассматриваются на заседаниях рабочей группы Межведомственной комиссии по налоговой и социальной политике при главах Администраций муниципальных образований. </w:t>
      </w:r>
    </w:p>
    <w:p w:rsidR="007710D9" w:rsidRPr="007710D9" w:rsidRDefault="007710D9" w:rsidP="007710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710D9">
        <w:rPr>
          <w:rFonts w:ascii="Arial" w:eastAsia="Times New Roman" w:hAnsi="Arial" w:cs="Arial"/>
          <w:sz w:val="28"/>
          <w:szCs w:val="28"/>
          <w:lang w:eastAsia="ru-RU"/>
        </w:rPr>
        <w:t xml:space="preserve">Кроме того, инспекцией проводится работа с поступающими обращениями граждан об осуществлении деятельности без заключения трудовых отношений и выплате заработной платы «в конвертах». </w:t>
      </w:r>
    </w:p>
    <w:p w:rsidR="00BC0FA9" w:rsidRPr="007710D9" w:rsidRDefault="00BC0FA9" w:rsidP="007710D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7710D9" w:rsidSect="00156A6E"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10D9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301638D862F57FA37A030E6E03BAA41ABA2AD0AD7A08D7D1BDC43E5A54E8D6058D5CBF776E979031A2F2CF65A1FA63EB7644910F6H0o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1B4EE94CB3FAA5C9BCAB95D26085C5616609585795B1774DF3830CB513D10D94FEDD66ED3F604CCF9B1A0Ej8U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1B4EE94CB3FAA5C9BCAB95D26085C5636001535895B1774DF3830CB513D11F94A6D167EA21614FDACD4B4BD422C1C1F973E41015F0EDjDU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294F5B6630488AC44A1E5E8076249D6DF5FE82057B871C5DD27530DF3344B3D4E40D6EBFF836E67BA3861D75ZBV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65DB-B09A-45B0-AD6A-91D5DC85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2022-05-12T05:01:00Z</dcterms:created>
  <dcterms:modified xsi:type="dcterms:W3CDTF">2022-05-12T05:01:00Z</dcterms:modified>
</cp:coreProperties>
</file>